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D299" w14:textId="77777777" w:rsidR="00C532A5" w:rsidRPr="00703990" w:rsidRDefault="00C532A5" w:rsidP="00703990">
      <w:pPr>
        <w:pStyle w:val="Header"/>
        <w:tabs>
          <w:tab w:val="clear" w:pos="4320"/>
          <w:tab w:val="clear" w:pos="8640"/>
        </w:tabs>
        <w:ind w:right="86"/>
        <w:rPr>
          <w:rFonts w:cs="Arial"/>
          <w:b/>
          <w:sz w:val="20"/>
          <w:szCs w:val="20"/>
        </w:rPr>
      </w:pPr>
    </w:p>
    <w:p w14:paraId="50CCD29A" w14:textId="77777777" w:rsidR="00C532A5" w:rsidRDefault="004024A7" w:rsidP="00176A81">
      <w:pPr>
        <w:pStyle w:val="Heading7"/>
        <w:tabs>
          <w:tab w:val="left" w:pos="3848"/>
        </w:tabs>
        <w:ind w:right="86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0CCD2C5" wp14:editId="50CCD2C6">
            <wp:extent cx="1212215" cy="4464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81">
        <w:rPr>
          <w:rFonts w:ascii="Arial" w:hAnsi="Arial" w:cs="Arial"/>
          <w:sz w:val="20"/>
          <w:szCs w:val="20"/>
        </w:rPr>
        <w:tab/>
      </w:r>
    </w:p>
    <w:p w14:paraId="50CCD29B" w14:textId="77777777" w:rsidR="00176A81" w:rsidRDefault="00176A81" w:rsidP="00176A81"/>
    <w:p w14:paraId="50CCD29C" w14:textId="77777777" w:rsidR="00C532A5" w:rsidRPr="00402D83" w:rsidRDefault="00C532A5" w:rsidP="0070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CCD29D" w14:textId="7314A0A7" w:rsidR="00703990" w:rsidRPr="00402D83" w:rsidRDefault="00703990" w:rsidP="0070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center"/>
        <w:rPr>
          <w:rFonts w:cs="Arial"/>
          <w:b/>
        </w:rPr>
      </w:pPr>
      <w:r w:rsidRPr="00402D83">
        <w:rPr>
          <w:rFonts w:cs="Arial"/>
          <w:b/>
        </w:rPr>
        <w:t xml:space="preserve">Fiscal Year </w:t>
      </w:r>
      <w:r w:rsidR="00114938" w:rsidRPr="00402D83">
        <w:rPr>
          <w:rFonts w:cs="Arial"/>
          <w:b/>
        </w:rPr>
        <w:t>201</w:t>
      </w:r>
      <w:r w:rsidR="00D514FE">
        <w:rPr>
          <w:rFonts w:cs="Arial"/>
          <w:b/>
        </w:rPr>
        <w:t>8</w:t>
      </w:r>
      <w:r w:rsidR="00114938">
        <w:rPr>
          <w:rFonts w:cs="Arial"/>
          <w:b/>
        </w:rPr>
        <w:t xml:space="preserve"> </w:t>
      </w:r>
      <w:r w:rsidRPr="00402D83">
        <w:rPr>
          <w:rFonts w:cs="Arial"/>
          <w:b/>
        </w:rPr>
        <w:t>Cohort Default Rate Calculations</w:t>
      </w:r>
    </w:p>
    <w:p w14:paraId="50CCD29F" w14:textId="245EF588" w:rsidR="00703990" w:rsidRPr="00402D83" w:rsidRDefault="00703990" w:rsidP="0070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center"/>
        <w:rPr>
          <w:rFonts w:cs="Arial"/>
          <w:b/>
        </w:rPr>
      </w:pPr>
      <w:r w:rsidRPr="00402D83">
        <w:rPr>
          <w:rFonts w:cs="Arial"/>
          <w:b/>
        </w:rPr>
        <w:t>Technical Update GA–</w:t>
      </w:r>
      <w:r w:rsidR="009D7573">
        <w:rPr>
          <w:rFonts w:cs="Arial"/>
          <w:b/>
        </w:rPr>
        <w:t>2021</w:t>
      </w:r>
      <w:r w:rsidR="00D514FE">
        <w:rPr>
          <w:rFonts w:cs="Arial"/>
          <w:b/>
        </w:rPr>
        <w:t>-</w:t>
      </w:r>
      <w:r w:rsidR="009D7573">
        <w:rPr>
          <w:rFonts w:cs="Arial"/>
          <w:b/>
        </w:rPr>
        <w:t>01</w:t>
      </w:r>
    </w:p>
    <w:p w14:paraId="50CCD2A0" w14:textId="194B3C6C" w:rsidR="00C532A5" w:rsidRPr="00402D83" w:rsidRDefault="009D7573" w:rsidP="0070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center"/>
        <w:rPr>
          <w:rFonts w:cs="Arial"/>
          <w:b/>
        </w:rPr>
      </w:pPr>
      <w:r>
        <w:rPr>
          <w:rFonts w:cs="Arial"/>
          <w:b/>
        </w:rPr>
        <w:t>Jan</w:t>
      </w:r>
      <w:r w:rsidR="003A5B36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8C0176">
        <w:rPr>
          <w:rFonts w:cs="Arial"/>
          <w:b/>
        </w:rPr>
        <w:t>1</w:t>
      </w:r>
      <w:r w:rsidR="00FA0092">
        <w:rPr>
          <w:rFonts w:cs="Arial"/>
          <w:b/>
        </w:rPr>
        <w:t>2</w:t>
      </w:r>
      <w:r w:rsidR="00C532A5" w:rsidRPr="00402D83">
        <w:rPr>
          <w:rFonts w:cs="Arial"/>
          <w:b/>
        </w:rPr>
        <w:t xml:space="preserve">, </w:t>
      </w:r>
      <w:r w:rsidR="00634524" w:rsidRPr="00402D83">
        <w:rPr>
          <w:rFonts w:cs="Arial"/>
          <w:b/>
        </w:rPr>
        <w:t>20</w:t>
      </w:r>
      <w:r>
        <w:rPr>
          <w:rFonts w:cs="Arial"/>
          <w:b/>
        </w:rPr>
        <w:t>21</w:t>
      </w:r>
    </w:p>
    <w:p w14:paraId="50CCD2A1" w14:textId="77777777" w:rsidR="00C532A5" w:rsidRPr="00402D83" w:rsidRDefault="00C532A5" w:rsidP="0070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center"/>
        <w:rPr>
          <w:rFonts w:ascii="Times New Roman" w:hAnsi="Times New Roman" w:cs="Times New Roman"/>
        </w:rPr>
      </w:pPr>
    </w:p>
    <w:p w14:paraId="50CCD2A2" w14:textId="49CC4355" w:rsidR="00C532A5" w:rsidRPr="00402D83" w:rsidRDefault="00C532A5" w:rsidP="0070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center"/>
        <w:rPr>
          <w:rFonts w:ascii="Times New Roman" w:hAnsi="Times New Roman" w:cs="Times New Roman"/>
          <w:i/>
        </w:rPr>
      </w:pPr>
      <w:r w:rsidRPr="00402D83">
        <w:rPr>
          <w:rFonts w:ascii="Times New Roman" w:hAnsi="Times New Roman" w:cs="Times New Roman"/>
          <w:i/>
        </w:rPr>
        <w:t>This information is intended for the person in your organization who is responsible for working with the National Student Loan Data System (NSLDS</w:t>
      </w:r>
      <w:r w:rsidR="00F517D6" w:rsidRPr="00F517D6">
        <w:rPr>
          <w:rFonts w:ascii="Times New Roman" w:hAnsi="Times New Roman" w:cs="Times New Roman"/>
          <w:i/>
          <w:vertAlign w:val="superscript"/>
        </w:rPr>
        <w:t>®</w:t>
      </w:r>
      <w:r w:rsidRPr="00402D83">
        <w:rPr>
          <w:rFonts w:ascii="Times New Roman" w:hAnsi="Times New Roman" w:cs="Times New Roman"/>
          <w:i/>
        </w:rPr>
        <w:t>). Please ensure that the appropriate person receives this update.</w:t>
      </w:r>
    </w:p>
    <w:p w14:paraId="50CCD2A3" w14:textId="77777777" w:rsidR="00176A81" w:rsidRPr="00703990" w:rsidRDefault="00176A81" w:rsidP="0070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center"/>
        <w:rPr>
          <w:rFonts w:cs="Arial"/>
          <w:i/>
          <w:sz w:val="20"/>
          <w:szCs w:val="20"/>
        </w:rPr>
      </w:pPr>
    </w:p>
    <w:p w14:paraId="50CCD2A4" w14:textId="77777777" w:rsidR="00C532A5" w:rsidRPr="00703990" w:rsidRDefault="00C532A5" w:rsidP="00703990">
      <w:pPr>
        <w:ind w:right="86"/>
        <w:jc w:val="center"/>
        <w:rPr>
          <w:rFonts w:cs="Arial"/>
          <w:sz w:val="20"/>
          <w:szCs w:val="20"/>
        </w:rPr>
      </w:pPr>
    </w:p>
    <w:p w14:paraId="50CCD2A5" w14:textId="7A098745" w:rsidR="00C532A5" w:rsidRPr="00402D83" w:rsidRDefault="00C532A5" w:rsidP="00703990">
      <w:pPr>
        <w:pStyle w:val="Heading1"/>
        <w:spacing w:after="0"/>
        <w:ind w:right="86"/>
        <w:rPr>
          <w:rFonts w:ascii="Times New Roman" w:hAnsi="Times New Roman" w:cs="Times New Roman"/>
          <w:sz w:val="24"/>
          <w:szCs w:val="24"/>
        </w:rPr>
      </w:pPr>
      <w:r w:rsidRPr="00402D83">
        <w:rPr>
          <w:rFonts w:ascii="Times New Roman" w:hAnsi="Times New Roman" w:cs="Times New Roman"/>
          <w:sz w:val="24"/>
          <w:szCs w:val="24"/>
        </w:rPr>
        <w:t>Fiscal Year</w:t>
      </w:r>
      <w:r w:rsidR="00080465">
        <w:rPr>
          <w:rFonts w:ascii="Times New Roman" w:hAnsi="Times New Roman" w:cs="Times New Roman"/>
          <w:sz w:val="24"/>
          <w:szCs w:val="24"/>
        </w:rPr>
        <w:t xml:space="preserve"> (FY)</w:t>
      </w:r>
      <w:r w:rsidRPr="00402D83">
        <w:rPr>
          <w:rFonts w:ascii="Times New Roman" w:hAnsi="Times New Roman" w:cs="Times New Roman"/>
          <w:sz w:val="24"/>
          <w:szCs w:val="24"/>
        </w:rPr>
        <w:t xml:space="preserve"> </w:t>
      </w:r>
      <w:r w:rsidR="00203116" w:rsidRPr="00402D83">
        <w:rPr>
          <w:rFonts w:ascii="Times New Roman" w:hAnsi="Times New Roman" w:cs="Times New Roman"/>
          <w:sz w:val="24"/>
          <w:szCs w:val="24"/>
        </w:rPr>
        <w:t>201</w:t>
      </w:r>
      <w:r w:rsidR="00D514FE">
        <w:rPr>
          <w:rFonts w:ascii="Times New Roman" w:hAnsi="Times New Roman" w:cs="Times New Roman"/>
          <w:sz w:val="24"/>
          <w:szCs w:val="24"/>
        </w:rPr>
        <w:t>8</w:t>
      </w:r>
      <w:r w:rsidR="00203116" w:rsidRPr="00402D83">
        <w:rPr>
          <w:rFonts w:ascii="Times New Roman" w:hAnsi="Times New Roman" w:cs="Times New Roman"/>
          <w:sz w:val="24"/>
          <w:szCs w:val="24"/>
        </w:rPr>
        <w:t xml:space="preserve"> </w:t>
      </w:r>
      <w:r w:rsidRPr="00402D83">
        <w:rPr>
          <w:rFonts w:ascii="Times New Roman" w:hAnsi="Times New Roman" w:cs="Times New Roman"/>
          <w:sz w:val="24"/>
          <w:szCs w:val="24"/>
        </w:rPr>
        <w:t>Cohort Default Rate Calculations</w:t>
      </w:r>
    </w:p>
    <w:p w14:paraId="50CCD2A6" w14:textId="77777777" w:rsidR="00C532A5" w:rsidRPr="00402D83" w:rsidRDefault="00C532A5" w:rsidP="00703990">
      <w:pPr>
        <w:ind w:right="86"/>
        <w:rPr>
          <w:rFonts w:ascii="Times New Roman" w:hAnsi="Times New Roman" w:cs="Times New Roman"/>
        </w:rPr>
      </w:pPr>
    </w:p>
    <w:p w14:paraId="50CCD2A7" w14:textId="7D9F7D37" w:rsidR="00C532A5" w:rsidRPr="00402D83" w:rsidRDefault="00C532A5" w:rsidP="00703990">
      <w:pPr>
        <w:ind w:right="86"/>
        <w:rPr>
          <w:rFonts w:ascii="Times New Roman" w:hAnsi="Times New Roman" w:cs="Times New Roman"/>
        </w:rPr>
      </w:pPr>
      <w:r w:rsidRPr="00402D83">
        <w:rPr>
          <w:rFonts w:ascii="Times New Roman" w:hAnsi="Times New Roman" w:cs="Times New Roman"/>
        </w:rPr>
        <w:t>NSLDS will calculate the cohort default rates according to the following schedule:</w:t>
      </w:r>
    </w:p>
    <w:p w14:paraId="50CCD2A8" w14:textId="77777777" w:rsidR="00C532A5" w:rsidRPr="00402D83" w:rsidRDefault="00C532A5" w:rsidP="00703990">
      <w:pPr>
        <w:ind w:right="86"/>
        <w:rPr>
          <w:rFonts w:ascii="Times New Roman" w:hAnsi="Times New Roman" w:cs="Times New Roman"/>
        </w:rPr>
      </w:pPr>
    </w:p>
    <w:p w14:paraId="50CCD2A9" w14:textId="402C58B4" w:rsidR="00C532A5" w:rsidRPr="00402D83" w:rsidRDefault="00C532A5" w:rsidP="00703990">
      <w:pPr>
        <w:ind w:right="86"/>
        <w:rPr>
          <w:rFonts w:ascii="Times New Roman" w:hAnsi="Times New Roman" w:cs="Times New Roman"/>
        </w:rPr>
      </w:pPr>
      <w:r w:rsidRPr="00402D83">
        <w:rPr>
          <w:rFonts w:ascii="Times New Roman" w:hAnsi="Times New Roman" w:cs="Times New Roman"/>
          <w:b/>
          <w:bCs/>
        </w:rPr>
        <w:t>Cohort Default Rate</w:t>
      </w:r>
      <w:r w:rsidRPr="00402D83">
        <w:rPr>
          <w:rFonts w:ascii="Times New Roman" w:hAnsi="Times New Roman" w:cs="Times New Roman"/>
          <w:b/>
        </w:rPr>
        <w:t>:</w:t>
      </w:r>
      <w:r w:rsidRPr="00402D83">
        <w:rPr>
          <w:rFonts w:ascii="Times New Roman" w:hAnsi="Times New Roman" w:cs="Times New Roman"/>
        </w:rPr>
        <w:t xml:space="preserve"> </w:t>
      </w:r>
    </w:p>
    <w:p w14:paraId="50CCD2AA" w14:textId="77777777" w:rsidR="00C532A5" w:rsidRPr="00402D83" w:rsidRDefault="00C532A5" w:rsidP="00703990">
      <w:pPr>
        <w:ind w:right="86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857"/>
        <w:gridCol w:w="4613"/>
      </w:tblGrid>
      <w:tr w:rsidR="00C532A5" w:rsidRPr="00402D83" w14:paraId="50CCD2AF" w14:textId="77777777" w:rsidTr="00314387">
        <w:trPr>
          <w:trHeight w:val="461"/>
        </w:trPr>
        <w:tc>
          <w:tcPr>
            <w:tcW w:w="2358" w:type="dxa"/>
            <w:vMerge w:val="restart"/>
            <w:shd w:val="clear" w:color="auto" w:fill="auto"/>
            <w:vAlign w:val="center"/>
          </w:tcPr>
          <w:p w14:paraId="50CCD2AB" w14:textId="77777777" w:rsidR="00C532A5" w:rsidRPr="00402D83" w:rsidRDefault="00C532A5" w:rsidP="00703990">
            <w:pPr>
              <w:ind w:right="86"/>
              <w:jc w:val="center"/>
              <w:rPr>
                <w:rFonts w:ascii="Times New Roman" w:hAnsi="Times New Roman" w:cs="Times New Roman"/>
                <w:b/>
              </w:rPr>
            </w:pPr>
            <w:r w:rsidRPr="00402D83">
              <w:rPr>
                <w:rFonts w:ascii="Times New Roman" w:hAnsi="Times New Roman" w:cs="Times New Roman"/>
                <w:b/>
              </w:rPr>
              <w:t xml:space="preserve">DRAFT </w:t>
            </w:r>
          </w:p>
          <w:p w14:paraId="50CCD2AC" w14:textId="7BAA8DEF" w:rsidR="00C532A5" w:rsidRPr="00402D83" w:rsidRDefault="00114938" w:rsidP="00114938">
            <w:pPr>
              <w:ind w:right="86"/>
              <w:jc w:val="center"/>
              <w:rPr>
                <w:rFonts w:ascii="Times New Roman" w:hAnsi="Times New Roman" w:cs="Times New Roman"/>
                <w:b/>
              </w:rPr>
            </w:pPr>
            <w:r w:rsidRPr="00402D83">
              <w:rPr>
                <w:rFonts w:ascii="Times New Roman" w:hAnsi="Times New Roman" w:cs="Times New Roman"/>
                <w:b/>
              </w:rPr>
              <w:t>FY201</w:t>
            </w:r>
            <w:r w:rsidR="00D514FE">
              <w:rPr>
                <w:rFonts w:ascii="Times New Roman" w:hAnsi="Times New Roman" w:cs="Times New Roman"/>
                <w:b/>
              </w:rPr>
              <w:t>8</w:t>
            </w:r>
            <w:r w:rsidRPr="00402D83">
              <w:rPr>
                <w:rFonts w:ascii="Times New Roman" w:hAnsi="Times New Roman" w:cs="Times New Roman"/>
                <w:b/>
              </w:rPr>
              <w:t xml:space="preserve"> </w:t>
            </w:r>
            <w:r w:rsidR="00C532A5" w:rsidRPr="00402D83">
              <w:rPr>
                <w:rFonts w:ascii="Times New Roman" w:hAnsi="Times New Roman" w:cs="Times New Roman"/>
                <w:b/>
              </w:rPr>
              <w:t>3-Year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50CCD2AD" w14:textId="77777777" w:rsidR="00C532A5" w:rsidRPr="00402D83" w:rsidRDefault="00C532A5" w:rsidP="00703990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Calculation: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0CCD2AE" w14:textId="41124910" w:rsidR="00C532A5" w:rsidRPr="00402D83" w:rsidRDefault="00C532A5" w:rsidP="00114938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Jan</w:t>
            </w:r>
            <w:r w:rsidR="00560DF6">
              <w:rPr>
                <w:rFonts w:ascii="Times New Roman" w:hAnsi="Times New Roman" w:cs="Times New Roman"/>
              </w:rPr>
              <w:t>.</w:t>
            </w:r>
            <w:r w:rsidRPr="00402D83">
              <w:rPr>
                <w:rFonts w:ascii="Times New Roman" w:hAnsi="Times New Roman" w:cs="Times New Roman"/>
              </w:rPr>
              <w:t xml:space="preserve"> </w:t>
            </w:r>
            <w:r w:rsidR="00D514FE">
              <w:rPr>
                <w:rFonts w:ascii="Times New Roman" w:hAnsi="Times New Roman" w:cs="Times New Roman"/>
              </w:rPr>
              <w:t>30</w:t>
            </w:r>
            <w:r w:rsidRPr="00402D83">
              <w:rPr>
                <w:rFonts w:ascii="Times New Roman" w:hAnsi="Times New Roman" w:cs="Times New Roman"/>
              </w:rPr>
              <w:t xml:space="preserve">, </w:t>
            </w:r>
            <w:r w:rsidR="00114938" w:rsidRPr="00402D83">
              <w:rPr>
                <w:rFonts w:ascii="Times New Roman" w:hAnsi="Times New Roman" w:cs="Times New Roman"/>
              </w:rPr>
              <w:t>20</w:t>
            </w:r>
            <w:r w:rsidR="00114938">
              <w:rPr>
                <w:rFonts w:ascii="Times New Roman" w:hAnsi="Times New Roman" w:cs="Times New Roman"/>
              </w:rPr>
              <w:t>2</w:t>
            </w:r>
            <w:r w:rsidR="00D514FE">
              <w:rPr>
                <w:rFonts w:ascii="Times New Roman" w:hAnsi="Times New Roman" w:cs="Times New Roman"/>
              </w:rPr>
              <w:t>1</w:t>
            </w:r>
          </w:p>
        </w:tc>
      </w:tr>
      <w:tr w:rsidR="00C532A5" w:rsidRPr="00402D83" w14:paraId="50CCD2B3" w14:textId="77777777" w:rsidTr="00314387">
        <w:trPr>
          <w:trHeight w:val="461"/>
        </w:trPr>
        <w:tc>
          <w:tcPr>
            <w:tcW w:w="2358" w:type="dxa"/>
            <w:vMerge/>
            <w:shd w:val="clear" w:color="auto" w:fill="auto"/>
          </w:tcPr>
          <w:p w14:paraId="50CCD2B0" w14:textId="77777777" w:rsidR="00C532A5" w:rsidRPr="00402D83" w:rsidRDefault="00C532A5" w:rsidP="00703990">
            <w:pPr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50CCD2B1" w14:textId="77777777" w:rsidR="00C532A5" w:rsidRPr="00402D83" w:rsidRDefault="00C532A5" w:rsidP="00703990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Release: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0CCD2B2" w14:textId="3E0221C8" w:rsidR="00C532A5" w:rsidRPr="00402D83" w:rsidRDefault="00C532A5" w:rsidP="00114938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Feb</w:t>
            </w:r>
            <w:r w:rsidR="00560DF6">
              <w:rPr>
                <w:rFonts w:ascii="Times New Roman" w:hAnsi="Times New Roman" w:cs="Times New Roman"/>
              </w:rPr>
              <w:t>.</w:t>
            </w:r>
            <w:r w:rsidRPr="00402D83">
              <w:rPr>
                <w:rFonts w:ascii="Times New Roman" w:hAnsi="Times New Roman" w:cs="Times New Roman"/>
              </w:rPr>
              <w:t xml:space="preserve"> </w:t>
            </w:r>
            <w:r w:rsidR="003D4C5A">
              <w:rPr>
                <w:rFonts w:ascii="Times New Roman" w:hAnsi="Times New Roman" w:cs="Times New Roman"/>
              </w:rPr>
              <w:t>2</w:t>
            </w:r>
            <w:r w:rsidR="00974634">
              <w:rPr>
                <w:rFonts w:ascii="Times New Roman" w:hAnsi="Times New Roman" w:cs="Times New Roman"/>
              </w:rPr>
              <w:t>2</w:t>
            </w:r>
            <w:r w:rsidRPr="00402D83">
              <w:rPr>
                <w:rFonts w:ascii="Times New Roman" w:hAnsi="Times New Roman" w:cs="Times New Roman"/>
              </w:rPr>
              <w:t>, 20</w:t>
            </w:r>
            <w:r w:rsidR="00114938">
              <w:rPr>
                <w:rFonts w:ascii="Times New Roman" w:hAnsi="Times New Roman" w:cs="Times New Roman"/>
              </w:rPr>
              <w:t>2</w:t>
            </w:r>
            <w:r w:rsidR="00D514FE">
              <w:rPr>
                <w:rFonts w:ascii="Times New Roman" w:hAnsi="Times New Roman" w:cs="Times New Roman"/>
              </w:rPr>
              <w:t>1</w:t>
            </w:r>
          </w:p>
        </w:tc>
      </w:tr>
    </w:tbl>
    <w:p w14:paraId="50CCD2B4" w14:textId="77777777" w:rsidR="00C532A5" w:rsidRPr="00402D83" w:rsidRDefault="00C532A5" w:rsidP="00703990">
      <w:pPr>
        <w:ind w:right="86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2859"/>
        <w:gridCol w:w="4646"/>
      </w:tblGrid>
      <w:tr w:rsidR="00C532A5" w:rsidRPr="00402D83" w14:paraId="50CCD2B9" w14:textId="77777777" w:rsidTr="000D217C">
        <w:trPr>
          <w:trHeight w:val="440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14:paraId="50CCD2B5" w14:textId="77777777" w:rsidR="00CF2D80" w:rsidRPr="00402D83" w:rsidRDefault="00C532A5" w:rsidP="00703990">
            <w:pPr>
              <w:ind w:right="86"/>
              <w:jc w:val="center"/>
              <w:rPr>
                <w:rFonts w:ascii="Times New Roman" w:hAnsi="Times New Roman" w:cs="Times New Roman"/>
                <w:b/>
              </w:rPr>
            </w:pPr>
            <w:r w:rsidRPr="00402D83">
              <w:rPr>
                <w:rFonts w:ascii="Times New Roman" w:hAnsi="Times New Roman" w:cs="Times New Roman"/>
                <w:b/>
              </w:rPr>
              <w:t xml:space="preserve">OFFICIAL </w:t>
            </w:r>
          </w:p>
          <w:p w14:paraId="50CCD2B6" w14:textId="6D6A8766" w:rsidR="00C532A5" w:rsidRPr="00402D83" w:rsidRDefault="00114938" w:rsidP="00114938">
            <w:pPr>
              <w:ind w:right="86"/>
              <w:jc w:val="center"/>
              <w:rPr>
                <w:rFonts w:ascii="Times New Roman" w:hAnsi="Times New Roman" w:cs="Times New Roman"/>
                <w:b/>
              </w:rPr>
            </w:pPr>
            <w:r w:rsidRPr="00402D83">
              <w:rPr>
                <w:rFonts w:ascii="Times New Roman" w:hAnsi="Times New Roman" w:cs="Times New Roman"/>
                <w:b/>
              </w:rPr>
              <w:t>FY201</w:t>
            </w:r>
            <w:r w:rsidR="00D514FE">
              <w:rPr>
                <w:rFonts w:ascii="Times New Roman" w:hAnsi="Times New Roman" w:cs="Times New Roman"/>
                <w:b/>
              </w:rPr>
              <w:t>8</w:t>
            </w:r>
            <w:r w:rsidRPr="00402D83">
              <w:rPr>
                <w:rFonts w:ascii="Times New Roman" w:hAnsi="Times New Roman" w:cs="Times New Roman"/>
                <w:b/>
              </w:rPr>
              <w:t xml:space="preserve"> </w:t>
            </w:r>
            <w:r w:rsidR="00C532A5" w:rsidRPr="00402D83">
              <w:rPr>
                <w:rFonts w:ascii="Times New Roman" w:hAnsi="Times New Roman" w:cs="Times New Roman"/>
                <w:b/>
              </w:rPr>
              <w:t>3-Year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CCD2B7" w14:textId="77777777" w:rsidR="00C532A5" w:rsidRPr="00402D83" w:rsidRDefault="00C532A5" w:rsidP="00703990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Calculation: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CCD2B8" w14:textId="3BC8A8E2" w:rsidR="00C532A5" w:rsidRPr="00402D83" w:rsidRDefault="00C532A5" w:rsidP="00114938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Aug</w:t>
            </w:r>
            <w:r w:rsidR="000A1E8F">
              <w:rPr>
                <w:rFonts w:ascii="Times New Roman" w:hAnsi="Times New Roman" w:cs="Times New Roman"/>
              </w:rPr>
              <w:t>.</w:t>
            </w:r>
            <w:r w:rsidRPr="00402D83">
              <w:rPr>
                <w:rFonts w:ascii="Times New Roman" w:hAnsi="Times New Roman" w:cs="Times New Roman"/>
              </w:rPr>
              <w:t xml:space="preserve"> </w:t>
            </w:r>
            <w:r w:rsidR="00D514FE">
              <w:rPr>
                <w:rFonts w:ascii="Times New Roman" w:hAnsi="Times New Roman" w:cs="Times New Roman"/>
              </w:rPr>
              <w:t>7</w:t>
            </w:r>
            <w:r w:rsidRPr="00402D83">
              <w:rPr>
                <w:rFonts w:ascii="Times New Roman" w:hAnsi="Times New Roman" w:cs="Times New Roman"/>
              </w:rPr>
              <w:t>, 20</w:t>
            </w:r>
            <w:r w:rsidR="00114938">
              <w:rPr>
                <w:rFonts w:ascii="Times New Roman" w:hAnsi="Times New Roman" w:cs="Times New Roman"/>
              </w:rPr>
              <w:t>2</w:t>
            </w:r>
            <w:r w:rsidR="00D514FE">
              <w:rPr>
                <w:rFonts w:ascii="Times New Roman" w:hAnsi="Times New Roman" w:cs="Times New Roman"/>
              </w:rPr>
              <w:t>1</w:t>
            </w:r>
          </w:p>
        </w:tc>
      </w:tr>
      <w:tr w:rsidR="00C532A5" w:rsidRPr="00402D83" w14:paraId="50CCD2BD" w14:textId="77777777" w:rsidTr="000D217C">
        <w:trPr>
          <w:trHeight w:val="440"/>
        </w:trPr>
        <w:tc>
          <w:tcPr>
            <w:tcW w:w="1170" w:type="dxa"/>
            <w:vMerge/>
            <w:shd w:val="clear" w:color="auto" w:fill="auto"/>
          </w:tcPr>
          <w:p w14:paraId="50CCD2BA" w14:textId="77777777" w:rsidR="00C532A5" w:rsidRPr="00402D83" w:rsidRDefault="00C532A5" w:rsidP="00703990">
            <w:pPr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CCD2BB" w14:textId="77777777" w:rsidR="00C532A5" w:rsidRPr="00402D83" w:rsidRDefault="00C532A5" w:rsidP="00703990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Release: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CCD2BC" w14:textId="594C9706" w:rsidR="00C532A5" w:rsidRPr="00402D83" w:rsidRDefault="00C532A5" w:rsidP="00114938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02D83">
              <w:rPr>
                <w:rFonts w:ascii="Times New Roman" w:hAnsi="Times New Roman" w:cs="Times New Roman"/>
              </w:rPr>
              <w:t>Sept</w:t>
            </w:r>
            <w:r w:rsidR="000A1E8F">
              <w:rPr>
                <w:rFonts w:ascii="Times New Roman" w:hAnsi="Times New Roman" w:cs="Times New Roman"/>
              </w:rPr>
              <w:t>.</w:t>
            </w:r>
            <w:r w:rsidRPr="00402D83">
              <w:rPr>
                <w:rFonts w:ascii="Times New Roman" w:hAnsi="Times New Roman" w:cs="Times New Roman"/>
              </w:rPr>
              <w:t xml:space="preserve"> </w:t>
            </w:r>
            <w:r w:rsidR="007A1855">
              <w:rPr>
                <w:rFonts w:ascii="Times New Roman" w:hAnsi="Times New Roman" w:cs="Times New Roman"/>
              </w:rPr>
              <w:t>2</w:t>
            </w:r>
            <w:r w:rsidR="00D514FE">
              <w:rPr>
                <w:rFonts w:ascii="Times New Roman" w:hAnsi="Times New Roman" w:cs="Times New Roman"/>
              </w:rPr>
              <w:t>7</w:t>
            </w:r>
            <w:r w:rsidRPr="00402D83">
              <w:rPr>
                <w:rFonts w:ascii="Times New Roman" w:hAnsi="Times New Roman" w:cs="Times New Roman"/>
              </w:rPr>
              <w:t>, 20</w:t>
            </w:r>
            <w:r w:rsidR="00114938">
              <w:rPr>
                <w:rFonts w:ascii="Times New Roman" w:hAnsi="Times New Roman" w:cs="Times New Roman"/>
              </w:rPr>
              <w:t>2</w:t>
            </w:r>
            <w:r w:rsidR="00D514FE">
              <w:rPr>
                <w:rFonts w:ascii="Times New Roman" w:hAnsi="Times New Roman" w:cs="Times New Roman"/>
              </w:rPr>
              <w:t>1</w:t>
            </w:r>
          </w:p>
        </w:tc>
      </w:tr>
    </w:tbl>
    <w:p w14:paraId="50CCD2BE" w14:textId="77777777" w:rsidR="00C532A5" w:rsidRPr="00402D83" w:rsidRDefault="00C532A5" w:rsidP="00703990">
      <w:pPr>
        <w:pStyle w:val="Header"/>
        <w:tabs>
          <w:tab w:val="clear" w:pos="4320"/>
          <w:tab w:val="clear" w:pos="8640"/>
        </w:tabs>
        <w:ind w:right="86"/>
        <w:rPr>
          <w:rFonts w:ascii="Times New Roman" w:hAnsi="Times New Roman" w:cs="Times New Roman"/>
        </w:rPr>
      </w:pPr>
    </w:p>
    <w:p w14:paraId="50CCD2BF" w14:textId="77777777" w:rsidR="00C532A5" w:rsidRPr="00402D83" w:rsidRDefault="00C532A5" w:rsidP="00703990">
      <w:pPr>
        <w:pStyle w:val="Header"/>
        <w:tabs>
          <w:tab w:val="clear" w:pos="4320"/>
          <w:tab w:val="clear" w:pos="8640"/>
          <w:tab w:val="right" w:pos="2160"/>
        </w:tabs>
        <w:ind w:right="86"/>
        <w:rPr>
          <w:rFonts w:ascii="Times New Roman" w:hAnsi="Times New Roman" w:cs="Times New Roman"/>
        </w:rPr>
      </w:pPr>
    </w:p>
    <w:p w14:paraId="50CCD2C0" w14:textId="7849EB17" w:rsidR="00C532A5" w:rsidRDefault="00C532A5" w:rsidP="00703990">
      <w:pPr>
        <w:pStyle w:val="Header"/>
        <w:tabs>
          <w:tab w:val="clear" w:pos="4320"/>
          <w:tab w:val="clear" w:pos="8640"/>
          <w:tab w:val="right" w:pos="2160"/>
        </w:tabs>
        <w:ind w:right="86"/>
        <w:rPr>
          <w:rFonts w:ascii="Times New Roman" w:hAnsi="Times New Roman" w:cs="Times New Roman"/>
        </w:rPr>
      </w:pPr>
      <w:r w:rsidRPr="00402D83">
        <w:rPr>
          <w:rFonts w:ascii="Times New Roman" w:hAnsi="Times New Roman" w:cs="Times New Roman"/>
        </w:rPr>
        <w:t xml:space="preserve">Please provide </w:t>
      </w:r>
      <w:r w:rsidR="00F80B01">
        <w:rPr>
          <w:rFonts w:ascii="Times New Roman" w:hAnsi="Times New Roman" w:cs="Times New Roman"/>
        </w:rPr>
        <w:t>NSLDS</w:t>
      </w:r>
      <w:r w:rsidR="00F80B01" w:rsidRPr="00402D83">
        <w:rPr>
          <w:rFonts w:ascii="Times New Roman" w:hAnsi="Times New Roman" w:cs="Times New Roman"/>
        </w:rPr>
        <w:t xml:space="preserve"> </w:t>
      </w:r>
      <w:r w:rsidRPr="00402D83">
        <w:rPr>
          <w:rFonts w:ascii="Times New Roman" w:hAnsi="Times New Roman" w:cs="Times New Roman"/>
        </w:rPr>
        <w:t>with all changes that may affect the FY rates prior</w:t>
      </w:r>
      <w:r w:rsidR="00BF786D">
        <w:rPr>
          <w:rFonts w:ascii="Times New Roman" w:hAnsi="Times New Roman" w:cs="Times New Roman"/>
        </w:rPr>
        <w:t xml:space="preserve"> to the calculation dates noted </w:t>
      </w:r>
      <w:r w:rsidRPr="00402D83">
        <w:rPr>
          <w:rFonts w:ascii="Times New Roman" w:hAnsi="Times New Roman" w:cs="Times New Roman"/>
        </w:rPr>
        <w:t xml:space="preserve">above. Providing timely updates to NSLDS ensures the accuracy of the cohort default rate calculation and reduces challenges and appeals </w:t>
      </w:r>
      <w:r w:rsidR="00397AD1">
        <w:rPr>
          <w:rFonts w:ascii="Times New Roman" w:hAnsi="Times New Roman" w:cs="Times New Roman"/>
        </w:rPr>
        <w:t xml:space="preserve">from schools </w:t>
      </w:r>
      <w:r w:rsidRPr="00402D83">
        <w:rPr>
          <w:rFonts w:ascii="Times New Roman" w:hAnsi="Times New Roman" w:cs="Times New Roman"/>
        </w:rPr>
        <w:t>during the draft and official cycle</w:t>
      </w:r>
      <w:r w:rsidR="006B619F">
        <w:rPr>
          <w:rFonts w:ascii="Times New Roman" w:hAnsi="Times New Roman" w:cs="Times New Roman"/>
        </w:rPr>
        <w:t>s</w:t>
      </w:r>
      <w:r w:rsidRPr="00402D83">
        <w:rPr>
          <w:rFonts w:ascii="Times New Roman" w:hAnsi="Times New Roman" w:cs="Times New Roman"/>
        </w:rPr>
        <w:t xml:space="preserve">. A borrower’s record(s) may be updated online via the </w:t>
      </w:r>
      <w:hyperlink r:id="rId12" w:history="1">
        <w:r w:rsidR="00457D68" w:rsidRPr="00402D83">
          <w:rPr>
            <w:rStyle w:val="Hyperlink"/>
            <w:rFonts w:ascii="Times New Roman" w:hAnsi="Times New Roman" w:cs="Times New Roman"/>
          </w:rPr>
          <w:t>NSLDS Professional Access</w:t>
        </w:r>
      </w:hyperlink>
      <w:r w:rsidR="00457D68" w:rsidRPr="00402D83">
        <w:rPr>
          <w:rFonts w:ascii="Times New Roman" w:hAnsi="Times New Roman" w:cs="Times New Roman"/>
        </w:rPr>
        <w:t xml:space="preserve"> </w:t>
      </w:r>
      <w:r w:rsidR="00457D68">
        <w:rPr>
          <w:rFonts w:ascii="Times New Roman" w:hAnsi="Times New Roman" w:cs="Times New Roman"/>
        </w:rPr>
        <w:t>website</w:t>
      </w:r>
      <w:r w:rsidRPr="00402D83">
        <w:rPr>
          <w:rFonts w:ascii="Times New Roman" w:hAnsi="Times New Roman" w:cs="Times New Roman"/>
        </w:rPr>
        <w:t xml:space="preserve"> or as part of your Guaranty Agency’s (GA's) submittal. All updates must be received and accepted by NSLDS prior to the above-noted calculation dates </w:t>
      </w:r>
      <w:proofErr w:type="gramStart"/>
      <w:r w:rsidRPr="00402D83">
        <w:rPr>
          <w:rFonts w:ascii="Times New Roman" w:hAnsi="Times New Roman" w:cs="Times New Roman"/>
        </w:rPr>
        <w:t>in order for</w:t>
      </w:r>
      <w:proofErr w:type="gramEnd"/>
      <w:r w:rsidRPr="00402D83">
        <w:rPr>
          <w:rFonts w:ascii="Times New Roman" w:hAnsi="Times New Roman" w:cs="Times New Roman"/>
        </w:rPr>
        <w:t xml:space="preserve"> the data to be reflected in the calculations.</w:t>
      </w:r>
    </w:p>
    <w:p w14:paraId="50CCD2C1" w14:textId="77777777" w:rsidR="00402D83" w:rsidRPr="00402D83" w:rsidRDefault="00402D83" w:rsidP="00703990">
      <w:pPr>
        <w:pStyle w:val="Header"/>
        <w:tabs>
          <w:tab w:val="clear" w:pos="4320"/>
          <w:tab w:val="clear" w:pos="8640"/>
          <w:tab w:val="right" w:pos="2160"/>
        </w:tabs>
        <w:ind w:right="86"/>
        <w:rPr>
          <w:rFonts w:ascii="Times New Roman" w:hAnsi="Times New Roman" w:cs="Times New Roman"/>
        </w:rPr>
      </w:pPr>
    </w:p>
    <w:p w14:paraId="50CCD2C2" w14:textId="77777777" w:rsidR="00402D83" w:rsidRDefault="00C532A5" w:rsidP="00402D83">
      <w:pPr>
        <w:pStyle w:val="Heading8"/>
        <w:spacing w:before="0"/>
        <w:ind w:right="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D83">
        <w:rPr>
          <w:rFonts w:ascii="Times New Roman" w:hAnsi="Times New Roman" w:cs="Times New Roman"/>
          <w:i/>
          <w:sz w:val="24"/>
          <w:szCs w:val="24"/>
        </w:rPr>
        <w:t>If you have any questions, please contact the NSLDS Customer Support Center at</w:t>
      </w:r>
      <w:r w:rsidR="003610AB" w:rsidRPr="00402D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CCD2C3" w14:textId="40CD01C1" w:rsidR="00C532A5" w:rsidRPr="00402D83" w:rsidRDefault="00A4445C" w:rsidP="00402D83">
      <w:pPr>
        <w:pStyle w:val="Heading8"/>
        <w:spacing w:before="0"/>
        <w:ind w:right="8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1-800-</w:t>
      </w:r>
      <w:r w:rsidRPr="00402D83">
        <w:rPr>
          <w:rFonts w:ascii="Times New Roman" w:hAnsi="Times New Roman" w:cs="Times New Roman"/>
          <w:i/>
          <w:sz w:val="24"/>
          <w:szCs w:val="24"/>
        </w:rPr>
        <w:t>999-8219 or by email</w:t>
      </w:r>
      <w:r>
        <w:rPr>
          <w:rFonts w:ascii="Times New Roman" w:hAnsi="Times New Roman" w:cs="Times New Roman"/>
          <w:i/>
          <w:sz w:val="24"/>
          <w:szCs w:val="24"/>
        </w:rPr>
        <w:t xml:space="preserve"> at</w:t>
      </w:r>
      <w:r w:rsidRPr="00402D8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Pr="00402D8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NSLDS@ed.gov</w:t>
        </w:r>
      </w:hyperlink>
      <w:r w:rsidR="00C532A5" w:rsidRPr="00402D83">
        <w:rPr>
          <w:rFonts w:ascii="Times New Roman" w:hAnsi="Times New Roman" w:cs="Times New Roman"/>
          <w:i/>
          <w:sz w:val="24"/>
          <w:szCs w:val="24"/>
        </w:rPr>
        <w:t>.</w:t>
      </w:r>
    </w:p>
    <w:p w14:paraId="50CCD2C4" w14:textId="77777777" w:rsidR="00F374DF" w:rsidRPr="00703990" w:rsidRDefault="00F374DF" w:rsidP="00703990">
      <w:pPr>
        <w:pStyle w:val="FSABody"/>
        <w:ind w:right="86"/>
        <w:rPr>
          <w:szCs w:val="20"/>
        </w:rPr>
      </w:pPr>
    </w:p>
    <w:sectPr w:rsidR="00F374DF" w:rsidRPr="00703990" w:rsidSect="007039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168" w:right="1080" w:bottom="1800" w:left="1260" w:header="720" w:footer="13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D9EB" w14:textId="77777777" w:rsidR="008A2757" w:rsidRDefault="008A2757">
      <w:r>
        <w:separator/>
      </w:r>
    </w:p>
  </w:endnote>
  <w:endnote w:type="continuationSeparator" w:id="0">
    <w:p w14:paraId="5BC8B251" w14:textId="77777777" w:rsidR="008A2757" w:rsidRDefault="008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9C4E" w14:textId="77777777" w:rsidR="00A77E7A" w:rsidRDefault="00A77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49D8" w14:textId="77777777" w:rsidR="00A77E7A" w:rsidRDefault="00A77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D2D2" w14:textId="77777777" w:rsidR="0094616A" w:rsidRDefault="00EA7978" w:rsidP="00D52444">
    <w:pPr>
      <w:pStyle w:val="Footer"/>
    </w:pPr>
    <w:r w:rsidRPr="00F96932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0CCD2D5" wp14:editId="50CCD2D6">
          <wp:simplePos x="0" y="0"/>
          <wp:positionH relativeFrom="column">
            <wp:posOffset>1557020</wp:posOffset>
          </wp:positionH>
          <wp:positionV relativeFrom="paragraph">
            <wp:posOffset>-222250</wp:posOffset>
          </wp:positionV>
          <wp:extent cx="2498725" cy="573405"/>
          <wp:effectExtent l="0" t="0" r="0" b="1079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EPS_STATIONAR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369" r="60992" b="87976"/>
                  <a:stretch/>
                </pic:blipFill>
                <pic:spPr bwMode="auto">
                  <a:xfrm>
                    <a:off x="0" y="0"/>
                    <a:ext cx="2498725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CCD2D7" wp14:editId="50CCD2D8">
          <wp:simplePos x="0" y="0"/>
          <wp:positionH relativeFrom="column">
            <wp:posOffset>-1090930</wp:posOffset>
          </wp:positionH>
          <wp:positionV relativeFrom="paragraph">
            <wp:posOffset>303530</wp:posOffset>
          </wp:positionV>
          <wp:extent cx="7771765" cy="59245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EPS_STATIONAR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08" b="1110"/>
                  <a:stretch/>
                </pic:blipFill>
                <pic:spPr bwMode="auto">
                  <a:xfrm>
                    <a:off x="0" y="0"/>
                    <a:ext cx="777176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835E9" w14:textId="77777777" w:rsidR="008A2757" w:rsidRDefault="008A2757">
      <w:r>
        <w:separator/>
      </w:r>
    </w:p>
  </w:footnote>
  <w:footnote w:type="continuationSeparator" w:id="0">
    <w:p w14:paraId="4375B742" w14:textId="77777777" w:rsidR="008A2757" w:rsidRDefault="008A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8543" w14:textId="77777777" w:rsidR="00A77E7A" w:rsidRDefault="00A77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D2CB" w14:textId="77777777" w:rsidR="0094616A" w:rsidRDefault="0094616A" w:rsidP="008B6A2F">
    <w:pPr>
      <w:pStyle w:val="Header"/>
      <w:rPr>
        <w:rFonts w:cs="Arial"/>
        <w:color w:val="7F7F7F" w:themeColor="text1" w:themeTint="80"/>
        <w:sz w:val="20"/>
      </w:rPr>
    </w:pPr>
  </w:p>
  <w:p w14:paraId="50CCD2CC" w14:textId="77777777" w:rsidR="0094616A" w:rsidRDefault="0094616A" w:rsidP="008B6A2F">
    <w:pPr>
      <w:pStyle w:val="Header"/>
      <w:rPr>
        <w:rFonts w:cs="Arial"/>
        <w:color w:val="7F7F7F" w:themeColor="text1" w:themeTint="80"/>
        <w:sz w:val="20"/>
      </w:rPr>
    </w:pPr>
  </w:p>
  <w:p w14:paraId="50CCD2CD" w14:textId="77777777" w:rsidR="0094616A" w:rsidRDefault="0094616A" w:rsidP="008B6A2F">
    <w:pPr>
      <w:pStyle w:val="Header"/>
      <w:rPr>
        <w:rFonts w:cs="Arial"/>
        <w:color w:val="7F7F7F" w:themeColor="text1" w:themeTint="80"/>
        <w:sz w:val="20"/>
      </w:rPr>
    </w:pPr>
  </w:p>
  <w:p w14:paraId="50CCD2CE" w14:textId="77777777" w:rsidR="0094616A" w:rsidRPr="009A625A" w:rsidRDefault="0094616A" w:rsidP="00BB7888">
    <w:pPr>
      <w:pStyle w:val="Header"/>
      <w:framePr w:w="1100" w:h="365" w:hRule="exact" w:wrap="around" w:vAnchor="text" w:hAnchor="page" w:x="1162" w:y="211"/>
      <w:rPr>
        <w:rStyle w:val="PageNumber"/>
        <w:color w:val="7F7F7F" w:themeColor="text1" w:themeTint="80"/>
        <w:sz w:val="20"/>
        <w:szCs w:val="20"/>
      </w:rPr>
    </w:pPr>
    <w:r>
      <w:rPr>
        <w:rStyle w:val="PageNumber"/>
        <w:color w:val="7F7F7F" w:themeColor="text1" w:themeTint="80"/>
        <w:sz w:val="20"/>
        <w:szCs w:val="20"/>
      </w:rPr>
      <w:t xml:space="preserve">Page </w:t>
    </w:r>
    <w:r w:rsidRPr="009A625A">
      <w:rPr>
        <w:rStyle w:val="PageNumber"/>
        <w:color w:val="7F7F7F" w:themeColor="text1" w:themeTint="80"/>
        <w:sz w:val="20"/>
        <w:szCs w:val="20"/>
      </w:rPr>
      <w:fldChar w:fldCharType="begin"/>
    </w:r>
    <w:r w:rsidRPr="009A625A">
      <w:rPr>
        <w:rStyle w:val="PageNumber"/>
        <w:color w:val="7F7F7F" w:themeColor="text1" w:themeTint="80"/>
        <w:sz w:val="20"/>
        <w:szCs w:val="20"/>
      </w:rPr>
      <w:instrText xml:space="preserve">PAGE  </w:instrText>
    </w:r>
    <w:r w:rsidRPr="009A625A">
      <w:rPr>
        <w:rStyle w:val="PageNumber"/>
        <w:color w:val="7F7F7F" w:themeColor="text1" w:themeTint="80"/>
        <w:sz w:val="20"/>
        <w:szCs w:val="20"/>
      </w:rPr>
      <w:fldChar w:fldCharType="separate"/>
    </w:r>
    <w:r w:rsidR="00C53E55">
      <w:rPr>
        <w:rStyle w:val="PageNumber"/>
        <w:noProof/>
        <w:color w:val="7F7F7F" w:themeColor="text1" w:themeTint="80"/>
        <w:sz w:val="20"/>
        <w:szCs w:val="20"/>
      </w:rPr>
      <w:t>2</w:t>
    </w:r>
    <w:r w:rsidRPr="009A625A">
      <w:rPr>
        <w:rStyle w:val="PageNumber"/>
        <w:color w:val="7F7F7F" w:themeColor="text1" w:themeTint="80"/>
        <w:sz w:val="20"/>
        <w:szCs w:val="20"/>
      </w:rPr>
      <w:fldChar w:fldCharType="end"/>
    </w:r>
  </w:p>
  <w:p w14:paraId="50CCD2CF" w14:textId="77777777" w:rsidR="0094616A" w:rsidRDefault="0094616A" w:rsidP="00BB7888">
    <w:pPr>
      <w:pStyle w:val="Header"/>
      <w:ind w:left="-630"/>
      <w:rPr>
        <w:rFonts w:cs="Arial"/>
        <w:color w:val="7F7F7F" w:themeColor="text1" w:themeTint="80"/>
        <w:sz w:val="20"/>
      </w:rPr>
    </w:pPr>
  </w:p>
  <w:p w14:paraId="50CCD2D0" w14:textId="77777777" w:rsidR="0094616A" w:rsidRPr="008B6A2F" w:rsidRDefault="0094616A" w:rsidP="00BB7888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D2D1" w14:textId="7C45099B" w:rsidR="0094616A" w:rsidRDefault="0094616A" w:rsidP="003610AB">
    <w:pPr>
      <w:pStyle w:val="Header"/>
      <w:tabs>
        <w:tab w:val="clear" w:pos="8640"/>
        <w:tab w:val="right" w:pos="9630"/>
      </w:tabs>
    </w:pPr>
    <w:r w:rsidRPr="00F96932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50CCD2D3" wp14:editId="50CCD2D4">
          <wp:simplePos x="0" y="0"/>
          <wp:positionH relativeFrom="column">
            <wp:posOffset>-807085</wp:posOffset>
          </wp:positionH>
          <wp:positionV relativeFrom="paragraph">
            <wp:posOffset>-451638</wp:posOffset>
          </wp:positionV>
          <wp:extent cx="7775274" cy="8629169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rhead to size_30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43"/>
                  <a:stretch/>
                </pic:blipFill>
                <pic:spPr bwMode="auto">
                  <a:xfrm>
                    <a:off x="0" y="0"/>
                    <a:ext cx="7775274" cy="862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FE"/>
    <w:rsid w:val="00002A21"/>
    <w:rsid w:val="000135F6"/>
    <w:rsid w:val="000243B6"/>
    <w:rsid w:val="000451FA"/>
    <w:rsid w:val="00063824"/>
    <w:rsid w:val="00064EB8"/>
    <w:rsid w:val="0007358C"/>
    <w:rsid w:val="00077837"/>
    <w:rsid w:val="00080465"/>
    <w:rsid w:val="00081FA9"/>
    <w:rsid w:val="000A1E8F"/>
    <w:rsid w:val="000B374F"/>
    <w:rsid w:val="000B52B2"/>
    <w:rsid w:val="000B67F8"/>
    <w:rsid w:val="000C1EE1"/>
    <w:rsid w:val="000D0FB2"/>
    <w:rsid w:val="000D6F0A"/>
    <w:rsid w:val="000E36D9"/>
    <w:rsid w:val="000F6E9B"/>
    <w:rsid w:val="00114938"/>
    <w:rsid w:val="0014208F"/>
    <w:rsid w:val="001424B6"/>
    <w:rsid w:val="0015487A"/>
    <w:rsid w:val="00172632"/>
    <w:rsid w:val="00176A81"/>
    <w:rsid w:val="001A1297"/>
    <w:rsid w:val="001A3EAC"/>
    <w:rsid w:val="001B06D3"/>
    <w:rsid w:val="00203116"/>
    <w:rsid w:val="002178F4"/>
    <w:rsid w:val="00257F4A"/>
    <w:rsid w:val="00266099"/>
    <w:rsid w:val="00275574"/>
    <w:rsid w:val="0027650C"/>
    <w:rsid w:val="002776B3"/>
    <w:rsid w:val="002826D5"/>
    <w:rsid w:val="002A09F4"/>
    <w:rsid w:val="002B197C"/>
    <w:rsid w:val="002D1796"/>
    <w:rsid w:val="002F5B16"/>
    <w:rsid w:val="00301385"/>
    <w:rsid w:val="00301C1F"/>
    <w:rsid w:val="00305931"/>
    <w:rsid w:val="003129A1"/>
    <w:rsid w:val="003142BD"/>
    <w:rsid w:val="00314387"/>
    <w:rsid w:val="00335A0F"/>
    <w:rsid w:val="00344282"/>
    <w:rsid w:val="00350734"/>
    <w:rsid w:val="003541A0"/>
    <w:rsid w:val="003610AB"/>
    <w:rsid w:val="00362FFF"/>
    <w:rsid w:val="003771B0"/>
    <w:rsid w:val="0039087E"/>
    <w:rsid w:val="00395E01"/>
    <w:rsid w:val="00397AD1"/>
    <w:rsid w:val="003A5B36"/>
    <w:rsid w:val="003B1CED"/>
    <w:rsid w:val="003B3C51"/>
    <w:rsid w:val="003B4111"/>
    <w:rsid w:val="003C170A"/>
    <w:rsid w:val="003C37C6"/>
    <w:rsid w:val="003C3C3D"/>
    <w:rsid w:val="003D4C5A"/>
    <w:rsid w:val="003E3DFF"/>
    <w:rsid w:val="003F0F6C"/>
    <w:rsid w:val="003F2B30"/>
    <w:rsid w:val="004024A7"/>
    <w:rsid w:val="00402D83"/>
    <w:rsid w:val="00403D78"/>
    <w:rsid w:val="00422D9F"/>
    <w:rsid w:val="004435B8"/>
    <w:rsid w:val="00457D68"/>
    <w:rsid w:val="00475561"/>
    <w:rsid w:val="0047657D"/>
    <w:rsid w:val="004818BD"/>
    <w:rsid w:val="0049084B"/>
    <w:rsid w:val="00491BE8"/>
    <w:rsid w:val="004A0C7B"/>
    <w:rsid w:val="004D378C"/>
    <w:rsid w:val="004E7713"/>
    <w:rsid w:val="004F086F"/>
    <w:rsid w:val="004F170F"/>
    <w:rsid w:val="004F359F"/>
    <w:rsid w:val="00501E14"/>
    <w:rsid w:val="0050274A"/>
    <w:rsid w:val="00505E92"/>
    <w:rsid w:val="00506754"/>
    <w:rsid w:val="00515061"/>
    <w:rsid w:val="00521189"/>
    <w:rsid w:val="00525CBE"/>
    <w:rsid w:val="0054398C"/>
    <w:rsid w:val="00546A51"/>
    <w:rsid w:val="00557E43"/>
    <w:rsid w:val="00560DF6"/>
    <w:rsid w:val="0057571E"/>
    <w:rsid w:val="00580E8F"/>
    <w:rsid w:val="005F3C87"/>
    <w:rsid w:val="00615450"/>
    <w:rsid w:val="00634524"/>
    <w:rsid w:val="0065787D"/>
    <w:rsid w:val="0066115A"/>
    <w:rsid w:val="00677EE1"/>
    <w:rsid w:val="006A2B5A"/>
    <w:rsid w:val="006B01C1"/>
    <w:rsid w:val="006B3350"/>
    <w:rsid w:val="006B619F"/>
    <w:rsid w:val="006C5955"/>
    <w:rsid w:val="006D334D"/>
    <w:rsid w:val="006D7F4D"/>
    <w:rsid w:val="006E0597"/>
    <w:rsid w:val="006E359A"/>
    <w:rsid w:val="006F1291"/>
    <w:rsid w:val="00703990"/>
    <w:rsid w:val="00725FD9"/>
    <w:rsid w:val="00744492"/>
    <w:rsid w:val="00746904"/>
    <w:rsid w:val="00770A43"/>
    <w:rsid w:val="007860FC"/>
    <w:rsid w:val="007911B5"/>
    <w:rsid w:val="007A1855"/>
    <w:rsid w:val="007B67FD"/>
    <w:rsid w:val="007C1CF2"/>
    <w:rsid w:val="007C4098"/>
    <w:rsid w:val="007D5907"/>
    <w:rsid w:val="007E7437"/>
    <w:rsid w:val="007E7F7B"/>
    <w:rsid w:val="007F6383"/>
    <w:rsid w:val="0081499A"/>
    <w:rsid w:val="008178D1"/>
    <w:rsid w:val="00836460"/>
    <w:rsid w:val="00836B9C"/>
    <w:rsid w:val="008770FE"/>
    <w:rsid w:val="0088141E"/>
    <w:rsid w:val="008845A4"/>
    <w:rsid w:val="00890944"/>
    <w:rsid w:val="008A2757"/>
    <w:rsid w:val="008B6A2F"/>
    <w:rsid w:val="008C0176"/>
    <w:rsid w:val="008F64E3"/>
    <w:rsid w:val="00901108"/>
    <w:rsid w:val="00901721"/>
    <w:rsid w:val="009451ED"/>
    <w:rsid w:val="0094616A"/>
    <w:rsid w:val="00964F1A"/>
    <w:rsid w:val="00974634"/>
    <w:rsid w:val="009A5CEB"/>
    <w:rsid w:val="009A625A"/>
    <w:rsid w:val="009D7454"/>
    <w:rsid w:val="009D7573"/>
    <w:rsid w:val="009E618C"/>
    <w:rsid w:val="00A128FC"/>
    <w:rsid w:val="00A12D10"/>
    <w:rsid w:val="00A16BA9"/>
    <w:rsid w:val="00A26FDA"/>
    <w:rsid w:val="00A4445C"/>
    <w:rsid w:val="00A51498"/>
    <w:rsid w:val="00A551D3"/>
    <w:rsid w:val="00A61DFE"/>
    <w:rsid w:val="00A6697F"/>
    <w:rsid w:val="00A77E7A"/>
    <w:rsid w:val="00AA6E67"/>
    <w:rsid w:val="00AB641E"/>
    <w:rsid w:val="00AD43A8"/>
    <w:rsid w:val="00AF357D"/>
    <w:rsid w:val="00B0393D"/>
    <w:rsid w:val="00B15CE7"/>
    <w:rsid w:val="00B22D71"/>
    <w:rsid w:val="00B25EB7"/>
    <w:rsid w:val="00B3289D"/>
    <w:rsid w:val="00B35985"/>
    <w:rsid w:val="00B60562"/>
    <w:rsid w:val="00BA1760"/>
    <w:rsid w:val="00BB59E1"/>
    <w:rsid w:val="00BB7888"/>
    <w:rsid w:val="00BD4105"/>
    <w:rsid w:val="00BF786D"/>
    <w:rsid w:val="00C3063D"/>
    <w:rsid w:val="00C532A5"/>
    <w:rsid w:val="00C53E55"/>
    <w:rsid w:val="00C630A0"/>
    <w:rsid w:val="00C75B23"/>
    <w:rsid w:val="00C9045F"/>
    <w:rsid w:val="00C909D2"/>
    <w:rsid w:val="00CA731E"/>
    <w:rsid w:val="00CC04A1"/>
    <w:rsid w:val="00CD6831"/>
    <w:rsid w:val="00CD7348"/>
    <w:rsid w:val="00CE0176"/>
    <w:rsid w:val="00CE1556"/>
    <w:rsid w:val="00CE1D0A"/>
    <w:rsid w:val="00CE1D83"/>
    <w:rsid w:val="00CF2D80"/>
    <w:rsid w:val="00D34677"/>
    <w:rsid w:val="00D514FE"/>
    <w:rsid w:val="00D517B2"/>
    <w:rsid w:val="00D52444"/>
    <w:rsid w:val="00D55859"/>
    <w:rsid w:val="00D7788D"/>
    <w:rsid w:val="00D85981"/>
    <w:rsid w:val="00D9652F"/>
    <w:rsid w:val="00DB313B"/>
    <w:rsid w:val="00DD6422"/>
    <w:rsid w:val="00DE494B"/>
    <w:rsid w:val="00DE7E1B"/>
    <w:rsid w:val="00E25CA9"/>
    <w:rsid w:val="00E31C67"/>
    <w:rsid w:val="00E551C0"/>
    <w:rsid w:val="00E70A32"/>
    <w:rsid w:val="00E75108"/>
    <w:rsid w:val="00E8075D"/>
    <w:rsid w:val="00EA7978"/>
    <w:rsid w:val="00EB32EC"/>
    <w:rsid w:val="00EC0622"/>
    <w:rsid w:val="00EC281D"/>
    <w:rsid w:val="00EE4F71"/>
    <w:rsid w:val="00F12383"/>
    <w:rsid w:val="00F374DF"/>
    <w:rsid w:val="00F517D6"/>
    <w:rsid w:val="00F5316E"/>
    <w:rsid w:val="00F54A06"/>
    <w:rsid w:val="00F703E9"/>
    <w:rsid w:val="00F80B01"/>
    <w:rsid w:val="00F96932"/>
    <w:rsid w:val="00FA0092"/>
    <w:rsid w:val="00FC32EC"/>
    <w:rsid w:val="00FC3DBD"/>
    <w:rsid w:val="00FC4890"/>
    <w:rsid w:val="00FF5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0CCD299"/>
  <w15:docId w15:val="{1BFDBB25-11F4-441D-8749-1A925C93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63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532A5"/>
    <w:pPr>
      <w:keepNext/>
      <w:suppressAutoHyphens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rsid w:val="00C532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C532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E5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07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027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3B1C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FSABody">
    <w:name w:val="FSA Body"/>
    <w:basedOn w:val="Normal"/>
    <w:qFormat/>
    <w:rsid w:val="009A625A"/>
    <w:pPr>
      <w:spacing w:line="24" w:lineRule="atLeast"/>
      <w:ind w:left="-630" w:right="90"/>
    </w:pPr>
    <w:rPr>
      <w:rFonts w:cs="Arial"/>
      <w:sz w:val="20"/>
    </w:rPr>
  </w:style>
  <w:style w:type="character" w:styleId="PageNumber">
    <w:name w:val="page number"/>
    <w:basedOn w:val="DefaultParagraphFont"/>
    <w:rsid w:val="009A625A"/>
  </w:style>
  <w:style w:type="character" w:customStyle="1" w:styleId="Heading7Char">
    <w:name w:val="Heading 7 Char"/>
    <w:basedOn w:val="DefaultParagraphFont"/>
    <w:link w:val="Heading7"/>
    <w:rsid w:val="00C53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C532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532A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C532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75B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5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5B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B23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1548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SLDS@ed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sldsfap.ed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GDIT-7291-690</_dlc_DocId>
    <_dlc_DocIdUrl xmlns="544be07d-7465-4746-b40c-f2df032bad02">
      <Url>https://spspi.gdit.com/opshcsd/Civilian/EFS/NSLDS Vangent Operations/reviews/_layouts/DocIdRedir.aspx?ID=GDIT-7291-690</Url>
      <Description>GDIT-7291-690</Description>
    </_dlc_DocIdUrl>
    <_dlc_DocIdPersistId xmlns="544be07d-7465-4746-b40c-f2df032bad02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90A557B06FF4B9F39F9615C8B3DDC" ma:contentTypeVersion="2" ma:contentTypeDescription="Create a new document." ma:contentTypeScope="" ma:versionID="67b59b52ed24c8a80a63a52ca4c8a268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8f9277459b154faea67328f45683045d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04CD-FAAB-4AD8-8B65-7873A17C9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41020-3EC5-4D16-9872-E422DDA5A34E}">
  <ds:schemaRefs>
    <ds:schemaRef ds:uri="http://schemas.microsoft.com/office/2006/metadata/properties"/>
    <ds:schemaRef ds:uri="http://schemas.microsoft.com/office/infopath/2007/PartnerControls"/>
    <ds:schemaRef ds:uri="544be07d-7465-4746-b40c-f2df032bad02"/>
  </ds:schemaRefs>
</ds:datastoreItem>
</file>

<file path=customXml/itemProps3.xml><?xml version="1.0" encoding="utf-8"?>
<ds:datastoreItem xmlns:ds="http://schemas.openxmlformats.org/officeDocument/2006/customXml" ds:itemID="{F4BB5B86-0D37-4959-8253-7328079012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9A83F6-9390-4CC6-A5B3-AEC92BB09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1BC0F9-251F-4287-895E-E8D1F768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Campbell-Ewald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Powell</dc:creator>
  <cp:lastModifiedBy>Thompson, Jennifer</cp:lastModifiedBy>
  <cp:revision>2</cp:revision>
  <cp:lastPrinted>2019-12-10T16:46:00Z</cp:lastPrinted>
  <dcterms:created xsi:type="dcterms:W3CDTF">2021-01-12T11:40:00Z</dcterms:created>
  <dcterms:modified xsi:type="dcterms:W3CDTF">2021-01-12T11:40:00Z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6b76c8ae-eb22-447e-856b-d28b8f0f6e19</vt:lpwstr>
  </property>
  <property fmtid="{D5CDD505-2E9C-101B-9397-08002B2CF9AE}" pid="3" name="ContentTypeId">
    <vt:lpwstr>0x01010017C90A557B06FF4B9F39F9615C8B3DDC</vt:lpwstr>
  </property>
  <property fmtid="{D5CDD505-2E9C-101B-9397-08002B2CF9AE}" pid="4" name="TemplateUrl">
    <vt:lpwstr/>
  </property>
  <property fmtid="{D5CDD505-2E9C-101B-9397-08002B2CF9AE}" pid="5" name="Order">
    <vt:r8>500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